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jc w:val="center"/>
        <w:rPr>
          <w:b/>
          <w:szCs w:val="28"/>
          <w:highlight w:val="white"/>
        </w:rPr>
      </w:pPr>
      <w:r>
        <w:rPr>
          <w:b/>
          <w:szCs w:val="28"/>
          <w:highlight w:val="white"/>
        </w:rPr>
        <w:t xml:space="preserve">ФИНАНСОВО-ЭКОНОМИЧЕСКОЕ ОБОСНОВАНИЕ</w:t>
      </w:r>
      <w:r>
        <w:rPr>
          <w:b/>
          <w:szCs w:val="28"/>
          <w:highlight w:val="white"/>
        </w:rPr>
      </w:r>
      <w:r>
        <w:rPr>
          <w:b/>
          <w:szCs w:val="28"/>
          <w:highlight w:val="white"/>
        </w:rPr>
      </w:r>
    </w:p>
    <w:p>
      <w:pPr>
        <w:pStyle w:val="845"/>
        <w:rPr>
          <w:bCs/>
          <w:szCs w:val="28"/>
          <w:highlight w:val="white"/>
        </w:rPr>
      </w:pPr>
      <w:r>
        <w:rPr>
          <w:bCs/>
          <w:szCs w:val="28"/>
          <w:highlight w:val="white"/>
          <w:lang w:eastAsia="en-US"/>
        </w:rPr>
        <w:t xml:space="preserve">к проекту закона Новосибирской области</w:t>
      </w:r>
      <w:r>
        <w:rPr>
          <w:bCs/>
          <w:szCs w:val="28"/>
          <w:highlight w:val="white"/>
          <w:lang w:eastAsia="en-US"/>
        </w:rPr>
      </w:r>
      <w:r>
        <w:rPr>
          <w:bCs/>
          <w:szCs w:val="28"/>
          <w:highlight w:val="white"/>
        </w:rPr>
      </w:r>
    </w:p>
    <w:p>
      <w:pPr>
        <w:pStyle w:val="845"/>
        <w:rPr>
          <w:bCs/>
          <w:szCs w:val="28"/>
          <w:highlight w:val="white"/>
        </w:rPr>
      </w:pPr>
      <w:r>
        <w:rPr>
          <w:bCs/>
          <w:szCs w:val="28"/>
          <w:highlight w:val="white"/>
          <w:lang w:eastAsia="en-US"/>
        </w:rPr>
        <w:t xml:space="preserve">«О внесении изменени</w:t>
      </w:r>
      <w:r>
        <w:rPr>
          <w:bCs/>
          <w:szCs w:val="28"/>
          <w:highlight w:val="white"/>
          <w:lang w:eastAsia="en-US"/>
        </w:rPr>
        <w:t xml:space="preserve">я</w:t>
      </w:r>
      <w:r>
        <w:rPr>
          <w:bCs/>
          <w:szCs w:val="28"/>
          <w:highlight w:val="white"/>
          <w:lang w:eastAsia="en-US"/>
        </w:rPr>
        <w:t xml:space="preserve"> в статью 4 Закона Новосибирской области</w:t>
      </w:r>
      <w:r>
        <w:rPr>
          <w:bCs/>
          <w:szCs w:val="28"/>
          <w:highlight w:val="white"/>
          <w:lang w:eastAsia="en-US"/>
        </w:rPr>
      </w:r>
      <w:r>
        <w:rPr>
          <w:bCs/>
          <w:szCs w:val="28"/>
          <w:highlight w:val="white"/>
        </w:rPr>
      </w:r>
    </w:p>
    <w:p>
      <w:pPr>
        <w:pStyle w:val="845"/>
        <w:rPr>
          <w:bCs/>
          <w:szCs w:val="28"/>
          <w:highlight w:val="white"/>
        </w:rPr>
      </w:pPr>
      <w:r>
        <w:rPr>
          <w:bCs/>
          <w:szCs w:val="28"/>
          <w:highlight w:val="white"/>
          <w:lang w:eastAsia="en-US"/>
        </w:rPr>
        <w:t xml:space="preserve">«О порядке создания и осуществления деятельности комиссий по делам несовершеннолетних и защите их прав на территории </w:t>
      </w:r>
      <w:r>
        <w:rPr>
          <w:bCs/>
          <w:szCs w:val="28"/>
          <w:highlight w:val="white"/>
          <w:lang w:eastAsia="en-US"/>
        </w:rPr>
      </w:r>
      <w:r>
        <w:rPr>
          <w:bCs/>
          <w:szCs w:val="28"/>
          <w:highlight w:val="white"/>
        </w:rPr>
      </w:r>
    </w:p>
    <w:p>
      <w:pPr>
        <w:pStyle w:val="845"/>
        <w:rPr>
          <w:bCs/>
          <w:szCs w:val="28"/>
          <w:highlight w:val="white"/>
        </w:rPr>
      </w:pPr>
      <w:r>
        <w:rPr>
          <w:bCs/>
          <w:szCs w:val="28"/>
          <w:highlight w:val="white"/>
          <w:lang w:eastAsia="en-US"/>
        </w:rPr>
        <w:t xml:space="preserve">Новосибирской области»</w:t>
      </w:r>
      <w:r>
        <w:rPr>
          <w:bCs/>
          <w:szCs w:val="28"/>
          <w:highlight w:val="white"/>
          <w:lang w:eastAsia="en-US"/>
        </w:rPr>
      </w:r>
      <w:r>
        <w:rPr>
          <w:bCs/>
          <w:szCs w:val="28"/>
          <w:highlight w:val="white"/>
        </w:rPr>
      </w:r>
    </w:p>
    <w:p>
      <w:pPr>
        <w:pStyle w:val="845"/>
        <w:jc w:val="left"/>
        <w:rPr>
          <w:b w:val="0"/>
          <w:szCs w:val="28"/>
          <w:highlight w:val="white"/>
        </w:rPr>
      </w:pPr>
      <w:r>
        <w:rPr>
          <w:b w:val="0"/>
          <w:szCs w:val="28"/>
          <w:highlight w:val="white"/>
        </w:rPr>
      </w:r>
      <w:r>
        <w:rPr>
          <w:b w:val="0"/>
          <w:szCs w:val="28"/>
          <w:highlight w:val="white"/>
        </w:rPr>
      </w:r>
      <w:r>
        <w:rPr>
          <w:b w:val="0"/>
          <w:szCs w:val="28"/>
          <w:highlight w:val="white"/>
        </w:rPr>
      </w:r>
    </w:p>
    <w:p>
      <w:pPr>
        <w:pStyle w:val="840"/>
        <w:ind w:firstLine="709"/>
        <w:jc w:val="both"/>
        <w:rPr>
          <w:bCs/>
          <w:color w:val="000000"/>
          <w:szCs w:val="28"/>
          <w:highlight w:val="white"/>
        </w:rPr>
      </w:pPr>
      <w:r>
        <w:rPr>
          <w:bCs/>
          <w:color w:val="000000"/>
          <w:szCs w:val="28"/>
          <w:highlight w:val="white"/>
        </w:rPr>
        <w:t xml:space="preserve">Реализация закона будет осуществляться в рамках полномочия Новосибирской области «</w:t>
      </w:r>
      <w:r>
        <w:rPr>
          <w:bCs/>
          <w:color w:val="000000"/>
          <w:szCs w:val="28"/>
          <w:highlight w:val="white"/>
        </w:rPr>
        <w:t xml:space="preserve">На осуществление иных полномочий</w:t>
      </w:r>
      <w:r>
        <w:rPr>
          <w:bCs/>
          <w:color w:val="000000"/>
          <w:szCs w:val="28"/>
          <w:highlight w:val="white"/>
        </w:rPr>
        <w:t xml:space="preserve">».</w:t>
      </w:r>
      <w:r>
        <w:rPr>
          <w:bCs/>
          <w:color w:val="000000"/>
          <w:szCs w:val="28"/>
          <w:highlight w:val="white"/>
        </w:rPr>
      </w:r>
      <w:r>
        <w:rPr>
          <w:bCs/>
          <w:color w:val="000000"/>
          <w:szCs w:val="28"/>
          <w:highlight w:val="white"/>
        </w:rPr>
      </w:r>
    </w:p>
    <w:p>
      <w:pPr>
        <w:pStyle w:val="840"/>
        <w:ind w:firstLine="709"/>
        <w:jc w:val="both"/>
        <w:rPr>
          <w:bCs/>
          <w:color w:val="000000"/>
          <w:szCs w:val="28"/>
          <w:highlight w:val="white"/>
        </w:rPr>
      </w:pPr>
      <w:r>
        <w:rPr>
          <w:bCs/>
          <w:color w:val="000000"/>
          <w:szCs w:val="28"/>
          <w:highlight w:val="white"/>
        </w:rPr>
        <w:t xml:space="preserve">З</w:t>
      </w:r>
      <w:r>
        <w:rPr>
          <w:bCs/>
          <w:color w:val="000000"/>
          <w:szCs w:val="28"/>
          <w:highlight w:val="white"/>
        </w:rPr>
        <w:t xml:space="preserve">акон</w:t>
      </w:r>
      <w:r>
        <w:rPr>
          <w:bCs/>
          <w:color w:val="000000"/>
          <w:szCs w:val="28"/>
          <w:highlight w:val="white"/>
        </w:rPr>
        <w:t xml:space="preserve">ом</w:t>
      </w:r>
      <w:r>
        <w:rPr>
          <w:bCs/>
          <w:color w:val="000000"/>
          <w:szCs w:val="28"/>
          <w:highlight w:val="white"/>
        </w:rPr>
        <w:t xml:space="preserve"> изменяется механизм определения количества специалистов, обеспечивающих деятельность комиссий по делам несовершеннолетних и защите их прав на территориях соответствующих муниципальных образований Новосибирской области </w:t>
      </w:r>
      <w:r>
        <w:rPr>
          <w:bCs/>
          <w:color w:val="000000"/>
          <w:szCs w:val="28"/>
          <w:highlight w:val="white"/>
        </w:rPr>
        <w:t xml:space="preserve">(далее – муниципальные комиссии).</w:t>
      </w:r>
      <w:r>
        <w:rPr>
          <w:bCs/>
          <w:color w:val="000000"/>
          <w:szCs w:val="28"/>
          <w:highlight w:val="white"/>
        </w:rPr>
        <w:t xml:space="preserve"> </w:t>
      </w:r>
      <w:r>
        <w:rPr>
          <w:bCs/>
          <w:color w:val="000000"/>
          <w:szCs w:val="28"/>
          <w:highlight w:val="white"/>
        </w:rPr>
        <w:t xml:space="preserve">Уточняется</w:t>
      </w:r>
      <w:r>
        <w:rPr>
          <w:bCs/>
          <w:color w:val="000000"/>
          <w:szCs w:val="28"/>
          <w:highlight w:val="white"/>
        </w:rPr>
        <w:t xml:space="preserve">, что количество специалистов, обеспечивающих деятельность муниципальной комисс</w:t>
      </w:r>
      <w:r>
        <w:rPr>
          <w:bCs/>
          <w:color w:val="000000"/>
          <w:szCs w:val="28"/>
          <w:highlight w:val="white"/>
        </w:rPr>
        <w:t xml:space="preserve">ии (за исключением города Новосибирска) будет определяться из расчета: ответственный секретарь (1 шт. ед.) и один специалист комиссии (1 шт. ед.) при численности несовершеннолетнего населения в соответствующем муниципальном образовании до 10 тысяч человек.</w:t>
      </w:r>
      <w:r>
        <w:rPr>
          <w:bCs/>
          <w:color w:val="000000"/>
          <w:szCs w:val="28"/>
          <w:highlight w:val="white"/>
        </w:rPr>
      </w:r>
      <w:r>
        <w:rPr>
          <w:bCs/>
          <w:color w:val="000000"/>
          <w:szCs w:val="28"/>
          <w:highlight w:val="white"/>
        </w:rPr>
      </w:r>
    </w:p>
    <w:p>
      <w:pPr>
        <w:pStyle w:val="840"/>
        <w:ind w:firstLine="709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Законом Новосибирской области от 20 декабря 2024 года № 546-ОЗ «Об областном бюджете Новосибирской области на 2025 год и пла</w:t>
      </w:r>
      <w:r>
        <w:rPr>
          <w:szCs w:val="28"/>
          <w:highlight w:val="white"/>
        </w:rPr>
        <w:t xml:space="preserve">новый период 2026 и 2027 годов» министерству труда и социального развития Новосибирской области (далее – министерство) предусмотрены бюджетные ассигнования в рамках расходного обязательства</w:t>
      </w:r>
      <w:r>
        <w:rPr>
          <w:szCs w:val="28"/>
          <w:highlight w:val="white"/>
        </w:rPr>
        <w:t xml:space="preserve"> «</w:t>
      </w:r>
      <w:r>
        <w:rPr>
          <w:szCs w:val="28"/>
          <w:highlight w:val="white"/>
        </w:rPr>
        <w:t xml:space="preserve">Образование и организация деятельности комиссий по делам несо</w:t>
      </w:r>
      <w:r>
        <w:rPr>
          <w:szCs w:val="28"/>
          <w:highlight w:val="white"/>
        </w:rPr>
        <w:t xml:space="preserve">вершеннолетних и защите их прав</w:t>
      </w:r>
      <w:r>
        <w:rPr>
          <w:szCs w:val="28"/>
          <w:highlight w:val="white"/>
        </w:rPr>
        <w:t xml:space="preserve">» </w:t>
      </w:r>
      <w:r>
        <w:rPr>
          <w:szCs w:val="28"/>
          <w:highlight w:val="white"/>
        </w:rPr>
        <w:t xml:space="preserve">по КБК 023 1006 </w:t>
      </w:r>
      <w:r>
        <w:rPr>
          <w:szCs w:val="28"/>
          <w:highlight w:val="white"/>
        </w:rPr>
        <w:t xml:space="preserve">28.3.0</w:t>
      </w:r>
      <w:r>
        <w:rPr>
          <w:szCs w:val="28"/>
          <w:highlight w:val="white"/>
        </w:rPr>
        <w:t xml:space="preserve">2</w:t>
      </w:r>
      <w:r>
        <w:rPr>
          <w:szCs w:val="28"/>
          <w:highlight w:val="white"/>
        </w:rPr>
        <w:t xml:space="preserve">.7</w:t>
      </w:r>
      <w:r>
        <w:rPr>
          <w:szCs w:val="28"/>
          <w:highlight w:val="white"/>
        </w:rPr>
        <w:t xml:space="preserve">0159</w:t>
      </w:r>
      <w:r>
        <w:rPr>
          <w:szCs w:val="28"/>
          <w:highlight w:val="white"/>
        </w:rPr>
        <w:t xml:space="preserve"> 530</w:t>
      </w:r>
      <w:r>
        <w:rPr>
          <w:szCs w:val="28"/>
          <w:highlight w:val="white"/>
        </w:rPr>
        <w:t xml:space="preserve">: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840"/>
        <w:ind w:firstLine="709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2025 год</w:t>
      </w:r>
      <w:r>
        <w:rPr>
          <w:szCs w:val="28"/>
          <w:highlight w:val="white"/>
        </w:rPr>
        <w:t xml:space="preserve"> в сумме 1</w:t>
      </w:r>
      <w:r>
        <w:rPr>
          <w:szCs w:val="28"/>
          <w:highlight w:val="white"/>
        </w:rPr>
        <w:t xml:space="preserve">19 337 500,00 </w:t>
      </w:r>
      <w:r>
        <w:rPr>
          <w:szCs w:val="28"/>
          <w:highlight w:val="white"/>
        </w:rPr>
        <w:t xml:space="preserve">рублей</w:t>
      </w:r>
      <w:r>
        <w:rPr>
          <w:szCs w:val="28"/>
          <w:highlight w:val="white"/>
        </w:rPr>
        <w:t xml:space="preserve">;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840"/>
        <w:ind w:firstLine="709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2026 год в сумме 101 336 000,00 рублей;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840"/>
        <w:ind w:firstLine="709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2027 год в сумме 101 336 000,00 рублей.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840"/>
        <w:ind w:firstLine="709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Реализация закона приведет к увеличению </w:t>
      </w:r>
      <w:r>
        <w:rPr>
          <w:szCs w:val="28"/>
          <w:highlight w:val="white"/>
        </w:rPr>
        <w:t xml:space="preserve">количеств</w:t>
      </w:r>
      <w:r>
        <w:rPr>
          <w:szCs w:val="28"/>
          <w:highlight w:val="white"/>
        </w:rPr>
        <w:t xml:space="preserve">а</w:t>
      </w:r>
      <w:r>
        <w:rPr>
          <w:szCs w:val="28"/>
          <w:highlight w:val="white"/>
        </w:rPr>
        <w:t xml:space="preserve"> специалистов муниципальной комиссии на 13 единиц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и потребует выделения дополнительных средств из областного бюджета Новосибирской области в сумме 12 792 000,00 рублей ежегодно (расчет представлен в приложении к финансово-экономическому обоснованию).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840"/>
        <w:ind w:firstLine="709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Согласно </w:t>
      </w:r>
      <w:r>
        <w:rPr>
          <w:szCs w:val="28"/>
          <w:highlight w:val="white"/>
        </w:rPr>
        <w:t xml:space="preserve">статье</w:t>
      </w:r>
      <w:r>
        <w:rPr>
          <w:szCs w:val="28"/>
          <w:highlight w:val="white"/>
        </w:rPr>
        <w:t xml:space="preserve"> 2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з</w:t>
      </w:r>
      <w:r>
        <w:rPr>
          <w:szCs w:val="28"/>
          <w:highlight w:val="white"/>
        </w:rPr>
        <w:t xml:space="preserve">акон</w:t>
      </w:r>
      <w:r>
        <w:rPr>
          <w:szCs w:val="28"/>
          <w:highlight w:val="white"/>
        </w:rPr>
        <w:t xml:space="preserve"> </w:t>
      </w:r>
      <w:r>
        <w:rPr>
          <w:szCs w:val="28"/>
          <w:highlight w:val="white"/>
        </w:rPr>
        <w:t xml:space="preserve">вступает в силу с 1 января 202</w:t>
      </w:r>
      <w:r>
        <w:rPr>
          <w:szCs w:val="28"/>
          <w:highlight w:val="white"/>
        </w:rPr>
        <w:t xml:space="preserve">6</w:t>
      </w:r>
      <w:r>
        <w:rPr>
          <w:szCs w:val="28"/>
          <w:highlight w:val="white"/>
        </w:rPr>
        <w:t xml:space="preserve"> года. </w:t>
      </w:r>
      <w:r>
        <w:rPr>
          <w:szCs w:val="28"/>
          <w:highlight w:val="white"/>
        </w:rPr>
        <w:t xml:space="preserve">Указанная дополнительная потребность будет заявлена министерством п</w:t>
      </w:r>
      <w:r>
        <w:rPr>
          <w:szCs w:val="28"/>
          <w:highlight w:val="white"/>
        </w:rPr>
        <w:t xml:space="preserve">ри формировании проекта закона Новосибирской области «Об областном бюджете Новосибирской области на 202</w:t>
      </w:r>
      <w:r>
        <w:rPr>
          <w:szCs w:val="28"/>
          <w:highlight w:val="white"/>
        </w:rPr>
        <w:t xml:space="preserve">6</w:t>
      </w:r>
      <w:r>
        <w:rPr>
          <w:szCs w:val="28"/>
          <w:highlight w:val="white"/>
        </w:rPr>
        <w:t xml:space="preserve"> год и плановый период 202</w:t>
      </w:r>
      <w:r>
        <w:rPr>
          <w:szCs w:val="28"/>
          <w:highlight w:val="white"/>
        </w:rPr>
        <w:t xml:space="preserve">7</w:t>
      </w:r>
      <w:r>
        <w:rPr>
          <w:szCs w:val="28"/>
          <w:highlight w:val="white"/>
        </w:rPr>
        <w:t xml:space="preserve"> и 202</w:t>
      </w:r>
      <w:r>
        <w:rPr>
          <w:szCs w:val="28"/>
          <w:highlight w:val="white"/>
        </w:rPr>
        <w:t xml:space="preserve">8</w:t>
      </w:r>
      <w:r>
        <w:rPr>
          <w:szCs w:val="28"/>
          <w:highlight w:val="white"/>
        </w:rPr>
        <w:t xml:space="preserve"> годов» </w:t>
      </w:r>
      <w:r>
        <w:rPr>
          <w:szCs w:val="28"/>
          <w:highlight w:val="white"/>
        </w:rPr>
        <w:t xml:space="preserve">в рамках расходного обязательства «Образование и организация деятельности комиссий по делам несовершеннолетних и защите их прав»</w:t>
      </w:r>
      <w:r>
        <w:rPr>
          <w:szCs w:val="28"/>
          <w:highlight w:val="white"/>
        </w:rPr>
        <w:t xml:space="preserve">.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840"/>
        <w:ind w:firstLine="709"/>
        <w:jc w:val="both"/>
        <w:rPr>
          <w:szCs w:val="28"/>
          <w:highlight w:val="white"/>
        </w:rPr>
      </w:pPr>
      <w:r>
        <w:rPr>
          <w:highlight w:val="white"/>
        </w:rPr>
        <w:t xml:space="preserve">Выпадающие доходы областного бюджета Новосибирской области при реализации закона отсутствуют. 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p>
      <w:pPr>
        <w:pStyle w:val="840"/>
        <w:ind w:firstLine="709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Участниками реализации </w:t>
      </w:r>
      <w:r>
        <w:rPr>
          <w:szCs w:val="28"/>
          <w:highlight w:val="white"/>
        </w:rPr>
        <w:t xml:space="preserve">закона</w:t>
      </w:r>
      <w:r>
        <w:rPr>
          <w:szCs w:val="28"/>
          <w:highlight w:val="white"/>
        </w:rPr>
        <w:t xml:space="preserve"> являются министерство и органы местного самоуправления Новосибирской области.</w:t>
      </w:r>
      <w:r>
        <w:rPr>
          <w:szCs w:val="28"/>
          <w:highlight w:val="white"/>
        </w:rPr>
      </w:r>
      <w:r>
        <w:rPr>
          <w:szCs w:val="28"/>
          <w:highlight w:val="white"/>
        </w:rPr>
      </w:r>
    </w:p>
    <w:sectPr>
      <w:footnotePr/>
      <w:endnotePr/>
      <w:type w:val="nextPage"/>
      <w:pgSz w:w="11906" w:h="16838" w:orient="portrait"/>
      <w:pgMar w:top="1135" w:right="567" w:bottom="737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5" w:hanging="405"/>
        <w:tabs>
          <w:tab w:val="num" w:pos="4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55" w:hanging="495"/>
        <w:tabs>
          <w:tab w:val="num" w:pos="85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40"/>
    <w:next w:val="840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40"/>
    <w:next w:val="840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40"/>
    <w:next w:val="840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40"/>
    <w:next w:val="840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40"/>
    <w:next w:val="840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List Paragraph"/>
    <w:basedOn w:val="840"/>
    <w:uiPriority w:val="34"/>
    <w:qFormat/>
    <w:pPr>
      <w:contextualSpacing/>
      <w:ind w:left="720"/>
    </w:pPr>
  </w:style>
  <w:style w:type="paragraph" w:styleId="681">
    <w:name w:val="No Spacing"/>
    <w:uiPriority w:val="1"/>
    <w:qFormat/>
    <w:pPr>
      <w:spacing w:before="0" w:after="0" w:line="240" w:lineRule="auto"/>
    </w:pPr>
  </w:style>
  <w:style w:type="paragraph" w:styleId="682">
    <w:name w:val="Title"/>
    <w:basedOn w:val="840"/>
    <w:next w:val="840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link w:val="682"/>
    <w:uiPriority w:val="10"/>
    <w:rPr>
      <w:sz w:val="48"/>
      <w:szCs w:val="48"/>
    </w:rPr>
  </w:style>
  <w:style w:type="paragraph" w:styleId="684">
    <w:name w:val="Subtitle"/>
    <w:basedOn w:val="840"/>
    <w:next w:val="840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link w:val="684"/>
    <w:uiPriority w:val="11"/>
    <w:rPr>
      <w:sz w:val="24"/>
      <w:szCs w:val="24"/>
    </w:rPr>
  </w:style>
  <w:style w:type="paragraph" w:styleId="686">
    <w:name w:val="Quote"/>
    <w:basedOn w:val="840"/>
    <w:next w:val="840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40"/>
    <w:next w:val="840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40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link w:val="690"/>
    <w:uiPriority w:val="99"/>
  </w:style>
  <w:style w:type="paragraph" w:styleId="692">
    <w:name w:val="Footer"/>
    <w:basedOn w:val="840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link w:val="692"/>
    <w:uiPriority w:val="99"/>
  </w:style>
  <w:style w:type="paragraph" w:styleId="694">
    <w:name w:val="Caption"/>
    <w:basedOn w:val="840"/>
    <w:next w:val="8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692"/>
    <w:uiPriority w:val="99"/>
  </w:style>
  <w:style w:type="table" w:styleId="69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next w:val="840"/>
    <w:link w:val="840"/>
    <w:qFormat/>
    <w:rPr>
      <w:sz w:val="28"/>
      <w:lang w:val="ru-RU" w:eastAsia="ru-RU" w:bidi="ar-SA"/>
    </w:rPr>
  </w:style>
  <w:style w:type="character" w:styleId="841">
    <w:name w:val="Основной шрифт абзаца"/>
    <w:next w:val="841"/>
    <w:link w:val="840"/>
    <w:semiHidden/>
  </w:style>
  <w:style w:type="table" w:styleId="842">
    <w:name w:val="Обычная таблица"/>
    <w:next w:val="842"/>
    <w:link w:val="840"/>
    <w:semiHidden/>
    <w:tblPr/>
  </w:style>
  <w:style w:type="numbering" w:styleId="843">
    <w:name w:val="Нет списка"/>
    <w:next w:val="843"/>
    <w:link w:val="840"/>
    <w:semiHidden/>
  </w:style>
  <w:style w:type="paragraph" w:styleId="844">
    <w:name w:val="Основной текст"/>
    <w:basedOn w:val="840"/>
    <w:next w:val="844"/>
    <w:link w:val="840"/>
    <w:pPr>
      <w:jc w:val="center"/>
    </w:pPr>
  </w:style>
  <w:style w:type="paragraph" w:styleId="845">
    <w:name w:val="Название"/>
    <w:basedOn w:val="840"/>
    <w:next w:val="845"/>
    <w:link w:val="840"/>
    <w:qFormat/>
    <w:pPr>
      <w:jc w:val="center"/>
    </w:pPr>
    <w:rPr>
      <w:b/>
    </w:rPr>
  </w:style>
  <w:style w:type="paragraph" w:styleId="846">
    <w:name w:val="Верхний колонтитул"/>
    <w:basedOn w:val="840"/>
    <w:next w:val="846"/>
    <w:link w:val="847"/>
    <w:pPr>
      <w:tabs>
        <w:tab w:val="center" w:pos="4153" w:leader="none"/>
        <w:tab w:val="right" w:pos="8306" w:leader="none"/>
      </w:tabs>
    </w:pPr>
  </w:style>
  <w:style w:type="character" w:styleId="847">
    <w:name w:val="Верхний колонтитул Знак"/>
    <w:next w:val="847"/>
    <w:link w:val="846"/>
    <w:rPr>
      <w:sz w:val="28"/>
    </w:rPr>
  </w:style>
  <w:style w:type="paragraph" w:styleId="848">
    <w:name w:val="Текст выноски"/>
    <w:basedOn w:val="840"/>
    <w:next w:val="848"/>
    <w:link w:val="849"/>
    <w:uiPriority w:val="99"/>
    <w:rPr>
      <w:rFonts w:ascii="Tahoma" w:hAnsi="Tahoma" w:cs="Tahoma"/>
      <w:sz w:val="16"/>
      <w:szCs w:val="16"/>
    </w:rPr>
  </w:style>
  <w:style w:type="character" w:styleId="849">
    <w:name w:val="Текст выноски Знак"/>
    <w:next w:val="849"/>
    <w:link w:val="848"/>
    <w:uiPriority w:val="99"/>
    <w:rPr>
      <w:rFonts w:ascii="Tahoma" w:hAnsi="Tahoma" w:cs="Tahoma"/>
      <w:sz w:val="16"/>
      <w:szCs w:val="16"/>
    </w:rPr>
  </w:style>
  <w:style w:type="character" w:styleId="850" w:default="1">
    <w:name w:val="Default Paragraph Font"/>
    <w:uiPriority w:val="1"/>
    <w:semiHidden/>
    <w:unhideWhenUsed/>
  </w:style>
  <w:style w:type="numbering" w:styleId="851" w:default="1">
    <w:name w:val="No List"/>
    <w:uiPriority w:val="99"/>
    <w:semiHidden/>
    <w:unhideWhenUsed/>
  </w:style>
  <w:style w:type="table" w:styleId="85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revision>17</cp:revision>
  <dcterms:created xsi:type="dcterms:W3CDTF">2023-09-21T04:07:00Z</dcterms:created>
  <dcterms:modified xsi:type="dcterms:W3CDTF">2025-04-18T03:07:44Z</dcterms:modified>
  <cp:version>983040</cp:version>
</cp:coreProperties>
</file>